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3EC" w:rsidRPr="00680959" w:rsidRDefault="0062337F" w:rsidP="00FC54BF">
      <w:pPr>
        <w:spacing w:after="120"/>
        <w:ind w:left="1134"/>
        <w:jc w:val="center"/>
        <w:rPr>
          <w:rFonts w:ascii="Arial" w:hAnsi="Arial" w:cs="Arial"/>
          <w:b/>
          <w:color w:val="000000"/>
        </w:rPr>
      </w:pPr>
      <w:r w:rsidRPr="00680959">
        <w:rPr>
          <w:rFonts w:ascii="Arial" w:hAnsi="Arial" w:cs="Arial"/>
          <w:b/>
          <w:noProof/>
          <w:color w:val="000000"/>
          <w:lang w:eastAsia="fr-FR"/>
        </w:rPr>
        <mc:AlternateContent>
          <mc:Choice Requires="wps">
            <w:drawing>
              <wp:anchor distT="0" distB="0" distL="114300" distR="114300" simplePos="0" relativeHeight="251659264" behindDoc="0" locked="0" layoutInCell="1" allowOverlap="1" wp14:anchorId="62C4F2EA" wp14:editId="38A7DF30">
                <wp:simplePos x="0" y="0"/>
                <wp:positionH relativeFrom="column">
                  <wp:posOffset>-375285</wp:posOffset>
                </wp:positionH>
                <wp:positionV relativeFrom="paragraph">
                  <wp:posOffset>-190500</wp:posOffset>
                </wp:positionV>
                <wp:extent cx="1333500" cy="13144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314450"/>
                        </a:xfrm>
                        <a:prstGeom prst="rect">
                          <a:avLst/>
                        </a:prstGeom>
                        <a:solidFill>
                          <a:srgbClr val="FFFFFF"/>
                        </a:solidFill>
                        <a:ln w="9525">
                          <a:noFill/>
                          <a:miter lim="800000"/>
                          <a:headEnd/>
                          <a:tailEnd/>
                        </a:ln>
                      </wps:spPr>
                      <wps:txbx>
                        <w:txbxContent>
                          <w:p w:rsidR="0062337F" w:rsidRDefault="0062337F">
                            <w:r w:rsidRPr="0062337F">
                              <w:rPr>
                                <w:noProof/>
                                <w:lang w:eastAsia="fr-FR"/>
                              </w:rPr>
                              <w:drawing>
                                <wp:inline distT="0" distB="0" distL="0" distR="0" wp14:anchorId="6664EB5E" wp14:editId="48A65B0D">
                                  <wp:extent cx="906027" cy="913393"/>
                                  <wp:effectExtent l="0" t="0" r="889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027" cy="91339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4F2EA" id="_x0000_t202" coordsize="21600,21600" o:spt="202" path="m,l,21600r21600,l21600,xe">
                <v:stroke joinstyle="miter"/>
                <v:path gradientshapeok="t" o:connecttype="rect"/>
              </v:shapetype>
              <v:shape id="Zone de texte 2" o:spid="_x0000_s1026" type="#_x0000_t202" style="position:absolute;left:0;text-align:left;margin-left:-29.55pt;margin-top:-15pt;width:10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" stroked="f">
                <v:textbox>
                  <w:txbxContent>
                    <w:p w:rsidR="0062337F" w:rsidRDefault="0062337F">
                      <w:r w:rsidRPr="0062337F">
                        <w:rPr>
                          <w:noProof/>
                          <w:lang w:eastAsia="fr-FR"/>
                        </w:rPr>
                        <w:drawing>
                          <wp:inline distT="0" distB="0" distL="0" distR="0" wp14:anchorId="6664EB5E" wp14:editId="48A65B0D">
                            <wp:extent cx="906027" cy="913393"/>
                            <wp:effectExtent l="0" t="0" r="889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027" cy="913393"/>
                                    </a:xfrm>
                                    <a:prstGeom prst="rect">
                                      <a:avLst/>
                                    </a:prstGeom>
                                    <a:noFill/>
                                    <a:ln>
                                      <a:noFill/>
                                    </a:ln>
                                  </pic:spPr>
                                </pic:pic>
                              </a:graphicData>
                            </a:graphic>
                          </wp:inline>
                        </w:drawing>
                      </w:r>
                    </w:p>
                  </w:txbxContent>
                </v:textbox>
              </v:shape>
            </w:pict>
          </mc:Fallback>
        </mc:AlternateContent>
      </w:r>
      <w:r w:rsidR="001603EC" w:rsidRPr="00680959">
        <w:rPr>
          <w:rFonts w:ascii="Arial" w:hAnsi="Arial" w:cs="Arial"/>
          <w:b/>
          <w:color w:val="000000"/>
        </w:rPr>
        <w:t>Comité d’entreprise de l’ADEME</w:t>
      </w:r>
    </w:p>
    <w:p w:rsidR="0062337F" w:rsidRDefault="00FC54BF" w:rsidP="00FC54BF">
      <w:pPr>
        <w:spacing w:after="120"/>
        <w:ind w:left="1418"/>
        <w:jc w:val="center"/>
        <w:rPr>
          <w:rFonts w:ascii="Arial" w:hAnsi="Arial" w:cs="Arial"/>
          <w:b/>
          <w:color w:val="000000"/>
        </w:rPr>
      </w:pPr>
      <w:r w:rsidRPr="00680959">
        <w:rPr>
          <w:rFonts w:ascii="Arial" w:hAnsi="Arial" w:cs="Arial"/>
          <w:b/>
          <w:color w:val="000000"/>
        </w:rPr>
        <w:t xml:space="preserve">Réunion du </w:t>
      </w:r>
      <w:r w:rsidR="0005391F" w:rsidRPr="00680959">
        <w:rPr>
          <w:rFonts w:ascii="Arial" w:hAnsi="Arial" w:cs="Arial"/>
          <w:b/>
          <w:color w:val="000000"/>
        </w:rPr>
        <w:t>21 février 2017</w:t>
      </w:r>
    </w:p>
    <w:p w:rsidR="00680959" w:rsidRPr="00680959" w:rsidRDefault="00680959" w:rsidP="00FC54BF">
      <w:pPr>
        <w:spacing w:after="120"/>
        <w:ind w:left="1418"/>
        <w:jc w:val="center"/>
        <w:rPr>
          <w:rFonts w:ascii="Arial" w:hAnsi="Arial" w:cs="Arial"/>
          <w:b/>
          <w:color w:val="000000"/>
        </w:rPr>
      </w:pPr>
    </w:p>
    <w:p w:rsidR="00213112" w:rsidRPr="00680959" w:rsidRDefault="00213112" w:rsidP="00680959">
      <w:pPr>
        <w:spacing w:after="120"/>
        <w:rPr>
          <w:rFonts w:ascii="Arial" w:hAnsi="Arial" w:cs="Arial"/>
          <w:b/>
          <w:color w:val="000000"/>
        </w:rPr>
      </w:pPr>
    </w:p>
    <w:p w:rsidR="001603EC" w:rsidRPr="00680959" w:rsidRDefault="008F7EF1" w:rsidP="00FC54BF">
      <w:pPr>
        <w:spacing w:after="120"/>
        <w:ind w:left="1418"/>
        <w:jc w:val="center"/>
        <w:rPr>
          <w:rFonts w:ascii="Arial" w:hAnsi="Arial" w:cs="Arial"/>
          <w:b/>
          <w:caps/>
          <w:color w:val="1F497D" w:themeColor="text2"/>
        </w:rPr>
      </w:pPr>
      <w:r w:rsidRPr="00680959">
        <w:rPr>
          <w:rFonts w:ascii="Arial" w:hAnsi="Arial" w:cs="Arial"/>
          <w:b/>
          <w:caps/>
          <w:color w:val="1F497D" w:themeColor="text2"/>
        </w:rPr>
        <w:t>MOTION</w:t>
      </w:r>
      <w:r w:rsidR="00FC54BF" w:rsidRPr="00680959">
        <w:rPr>
          <w:rFonts w:ascii="Arial" w:hAnsi="Arial" w:cs="Arial"/>
          <w:b/>
          <w:caps/>
          <w:color w:val="1F497D" w:themeColor="text2"/>
        </w:rPr>
        <w:t xml:space="preserve"> PORTANT SUR</w:t>
      </w:r>
      <w:r w:rsidR="00CB3AB9" w:rsidRPr="00680959">
        <w:rPr>
          <w:rFonts w:ascii="Arial" w:hAnsi="Arial" w:cs="Arial"/>
          <w:b/>
          <w:caps/>
          <w:color w:val="1F497D" w:themeColor="text2"/>
        </w:rPr>
        <w:t xml:space="preserve"> </w:t>
      </w:r>
      <w:r w:rsidR="00213112" w:rsidRPr="00680959">
        <w:rPr>
          <w:rFonts w:ascii="Arial" w:hAnsi="Arial" w:cs="Arial"/>
          <w:b/>
          <w:caps/>
          <w:color w:val="1F497D" w:themeColor="text2"/>
        </w:rPr>
        <w:t>le changement de messagerie électronique (passage de Lotus à Outlook)</w:t>
      </w:r>
    </w:p>
    <w:p w:rsidR="00F73381" w:rsidRPr="00680959" w:rsidRDefault="00F73381">
      <w:pPr>
        <w:rPr>
          <w:rFonts w:ascii="Arial" w:hAnsi="Arial" w:cs="Arial"/>
          <w:b/>
          <w:color w:val="000000"/>
        </w:rPr>
      </w:pPr>
    </w:p>
    <w:p w:rsidR="00213112" w:rsidRPr="00680959" w:rsidRDefault="00CB3AB9" w:rsidP="0005391F">
      <w:pPr>
        <w:rPr>
          <w:rFonts w:ascii="Arial" w:hAnsi="Arial" w:cs="Arial"/>
          <w:color w:val="000000"/>
        </w:rPr>
      </w:pPr>
      <w:r w:rsidRPr="00680959">
        <w:rPr>
          <w:rFonts w:ascii="Arial" w:hAnsi="Arial" w:cs="Arial"/>
          <w:color w:val="000000"/>
        </w:rPr>
        <w:t xml:space="preserve">A l’occasion de </w:t>
      </w:r>
      <w:r w:rsidR="00213112" w:rsidRPr="00680959">
        <w:rPr>
          <w:rFonts w:ascii="Arial" w:hAnsi="Arial" w:cs="Arial"/>
          <w:color w:val="000000"/>
        </w:rPr>
        <w:t xml:space="preserve">l’information sur le changement de messagerie électronique de l’ADEME, (passage de IBM Lotus Notes à Microsoft Outlook), les </w:t>
      </w:r>
      <w:proofErr w:type="spellStart"/>
      <w:r w:rsidR="00213112" w:rsidRPr="00680959">
        <w:rPr>
          <w:rFonts w:ascii="Arial" w:hAnsi="Arial" w:cs="Arial"/>
          <w:color w:val="000000"/>
        </w:rPr>
        <w:t>élu.</w:t>
      </w:r>
      <w:proofErr w:type="gramStart"/>
      <w:r w:rsidR="00213112" w:rsidRPr="00680959">
        <w:rPr>
          <w:rFonts w:ascii="Arial" w:hAnsi="Arial" w:cs="Arial"/>
          <w:color w:val="000000"/>
        </w:rPr>
        <w:t>e.s</w:t>
      </w:r>
      <w:proofErr w:type="spellEnd"/>
      <w:proofErr w:type="gramEnd"/>
      <w:r w:rsidR="00213112" w:rsidRPr="00680959">
        <w:rPr>
          <w:rFonts w:ascii="Arial" w:hAnsi="Arial" w:cs="Arial"/>
          <w:color w:val="000000"/>
        </w:rPr>
        <w:t xml:space="preserve"> du CE ont pris connaissance de ce projet de </w:t>
      </w:r>
      <w:r w:rsidR="00E9734A" w:rsidRPr="00680959">
        <w:rPr>
          <w:rFonts w:ascii="Arial" w:hAnsi="Arial" w:cs="Arial"/>
          <w:color w:val="000000"/>
        </w:rPr>
        <w:t>changement majeur</w:t>
      </w:r>
      <w:r w:rsidR="00213112" w:rsidRPr="00680959">
        <w:rPr>
          <w:rFonts w:ascii="Arial" w:hAnsi="Arial" w:cs="Arial"/>
          <w:color w:val="000000"/>
        </w:rPr>
        <w:t xml:space="preserve"> du principal outil numérique de l’Agence. Ils observent que cette migration va concerner l’ensemble des salari.é.es, et qu’elle va avoir un impact de première importance sur leurs méthodes de travail, tant pour l’échange de messages que pour l’organisation du travail collaboratif (planification des réunions, messagerie instantanée</w:t>
      </w:r>
      <w:r w:rsidR="00E9734A" w:rsidRPr="00680959">
        <w:rPr>
          <w:rFonts w:ascii="Arial" w:hAnsi="Arial" w:cs="Arial"/>
          <w:color w:val="000000"/>
        </w:rPr>
        <w:t xml:space="preserve"> et fonctions annexes</w:t>
      </w:r>
      <w:r w:rsidR="00213112" w:rsidRPr="00680959">
        <w:rPr>
          <w:rFonts w:ascii="Arial" w:hAnsi="Arial" w:cs="Arial"/>
          <w:color w:val="000000"/>
        </w:rPr>
        <w:t>).</w:t>
      </w:r>
    </w:p>
    <w:p w:rsidR="00A905B2" w:rsidRPr="00680959" w:rsidRDefault="00A905B2" w:rsidP="0005391F">
      <w:pPr>
        <w:rPr>
          <w:rFonts w:ascii="Arial" w:hAnsi="Arial" w:cs="Arial"/>
          <w:color w:val="000000"/>
        </w:rPr>
      </w:pPr>
      <w:r w:rsidRPr="00680959">
        <w:rPr>
          <w:rFonts w:ascii="Arial" w:hAnsi="Arial" w:cs="Arial"/>
          <w:color w:val="000000"/>
        </w:rPr>
        <w:t xml:space="preserve">En outre, ils constatent que le logiciel choisi par la Direction est édité par la société Microsoft, qui est déjà l’éditeur d’un grand nombre d’outils numériques de l’ADEME. Cette migration représente un pas de plus vers une dépendance toujours croissante de notre entreprise envers cet éditeur, alors que des recommandations des pouvoirs publics français demandent d’accorder une plus grande part aux logiciels au code source ouvert, </w:t>
      </w:r>
      <w:r w:rsidR="00FF5794" w:rsidRPr="00680959">
        <w:rPr>
          <w:rFonts w:ascii="Arial" w:hAnsi="Arial" w:cs="Arial"/>
          <w:color w:val="000000"/>
        </w:rPr>
        <w:t xml:space="preserve">qui sont matures, </w:t>
      </w:r>
      <w:r w:rsidRPr="00680959">
        <w:rPr>
          <w:rFonts w:ascii="Arial" w:hAnsi="Arial" w:cs="Arial"/>
          <w:color w:val="000000"/>
        </w:rPr>
        <w:t>et aux données interopérables.</w:t>
      </w:r>
    </w:p>
    <w:p w:rsidR="00E9734A" w:rsidRPr="00680959" w:rsidRDefault="00F81897" w:rsidP="0005391F">
      <w:pPr>
        <w:rPr>
          <w:rFonts w:ascii="Arial" w:hAnsi="Arial" w:cs="Arial"/>
          <w:color w:val="000000"/>
        </w:rPr>
      </w:pPr>
      <w:r w:rsidRPr="00680959">
        <w:rPr>
          <w:rFonts w:ascii="Arial" w:hAnsi="Arial" w:cs="Arial"/>
          <w:color w:val="000000"/>
        </w:rPr>
        <w:t xml:space="preserve">En conséquence, </w:t>
      </w:r>
      <w:r w:rsidR="00A905B2" w:rsidRPr="00680959">
        <w:rPr>
          <w:rFonts w:ascii="Arial" w:hAnsi="Arial" w:cs="Arial"/>
          <w:color w:val="000000"/>
        </w:rPr>
        <w:t xml:space="preserve">les </w:t>
      </w:r>
      <w:proofErr w:type="spellStart"/>
      <w:r w:rsidR="00A905B2" w:rsidRPr="00680959">
        <w:rPr>
          <w:rFonts w:ascii="Arial" w:hAnsi="Arial" w:cs="Arial"/>
          <w:color w:val="000000"/>
        </w:rPr>
        <w:t>élu.</w:t>
      </w:r>
      <w:proofErr w:type="gramStart"/>
      <w:r w:rsidR="00A905B2" w:rsidRPr="00680959">
        <w:rPr>
          <w:rFonts w:ascii="Arial" w:hAnsi="Arial" w:cs="Arial"/>
          <w:color w:val="000000"/>
        </w:rPr>
        <w:t>e.s</w:t>
      </w:r>
      <w:proofErr w:type="spellEnd"/>
      <w:proofErr w:type="gramEnd"/>
      <w:r w:rsidR="00A905B2" w:rsidRPr="00680959">
        <w:rPr>
          <w:rFonts w:ascii="Arial" w:hAnsi="Arial" w:cs="Arial"/>
          <w:color w:val="000000"/>
        </w:rPr>
        <w:t xml:space="preserve"> du CE</w:t>
      </w:r>
      <w:r w:rsidRPr="00680959">
        <w:rPr>
          <w:rFonts w:ascii="Arial" w:hAnsi="Arial" w:cs="Arial"/>
          <w:color w:val="000000"/>
        </w:rPr>
        <w:t> :</w:t>
      </w:r>
    </w:p>
    <w:p w:rsidR="00687980" w:rsidRDefault="00687980" w:rsidP="0005391F">
      <w:pPr>
        <w:pStyle w:val="Paragraphedeliste"/>
        <w:numPr>
          <w:ilvl w:val="0"/>
          <w:numId w:val="1"/>
        </w:numPr>
        <w:rPr>
          <w:rFonts w:ascii="Arial" w:hAnsi="Arial" w:cs="Arial"/>
          <w:color w:val="000000"/>
        </w:rPr>
      </w:pPr>
      <w:r w:rsidRPr="00680959">
        <w:rPr>
          <w:rFonts w:ascii="Arial" w:hAnsi="Arial" w:cs="Arial"/>
          <w:color w:val="000000"/>
        </w:rPr>
        <w:t>déclarent</w:t>
      </w:r>
      <w:r w:rsidR="00213112" w:rsidRPr="00680959">
        <w:rPr>
          <w:rFonts w:ascii="Arial" w:hAnsi="Arial" w:cs="Arial"/>
          <w:color w:val="000000"/>
        </w:rPr>
        <w:t xml:space="preserve"> </w:t>
      </w:r>
      <w:r w:rsidR="004E3CFB">
        <w:rPr>
          <w:rFonts w:ascii="Arial" w:hAnsi="Arial" w:cs="Arial"/>
          <w:color w:val="000000"/>
        </w:rPr>
        <w:t xml:space="preserve">que </w:t>
      </w:r>
      <w:r w:rsidR="00213112" w:rsidRPr="00680959">
        <w:rPr>
          <w:rFonts w:ascii="Arial" w:hAnsi="Arial" w:cs="Arial"/>
          <w:color w:val="000000"/>
        </w:rPr>
        <w:t xml:space="preserve">cette migration, en raison de son importance, </w:t>
      </w:r>
      <w:r w:rsidR="00DB3ED3">
        <w:rPr>
          <w:rFonts w:ascii="Arial" w:hAnsi="Arial" w:cs="Arial"/>
          <w:color w:val="000000"/>
        </w:rPr>
        <w:t xml:space="preserve">aurait </w:t>
      </w:r>
      <w:r w:rsidR="00213112" w:rsidRPr="00680959">
        <w:rPr>
          <w:rFonts w:ascii="Arial" w:hAnsi="Arial" w:cs="Arial"/>
          <w:color w:val="000000"/>
        </w:rPr>
        <w:t>nécessit</w:t>
      </w:r>
      <w:r w:rsidR="00DB3ED3">
        <w:rPr>
          <w:rFonts w:ascii="Arial" w:hAnsi="Arial" w:cs="Arial"/>
          <w:color w:val="000000"/>
        </w:rPr>
        <w:t>é</w:t>
      </w:r>
      <w:r w:rsidR="00213112" w:rsidRPr="00680959">
        <w:rPr>
          <w:rFonts w:ascii="Arial" w:hAnsi="Arial" w:cs="Arial"/>
          <w:color w:val="000000"/>
        </w:rPr>
        <w:t xml:space="preserve"> une consultation du Comité d’Entreprise. </w:t>
      </w:r>
      <w:r w:rsidR="00DB3ED3">
        <w:rPr>
          <w:rFonts w:ascii="Arial" w:hAnsi="Arial" w:cs="Arial"/>
          <w:color w:val="000000"/>
        </w:rPr>
        <w:t xml:space="preserve">A la lumière de la situation chaotique de la mise en œuvre du logiciel CFA les élus regrettent encore une fois l’absence d’information et consultation </w:t>
      </w:r>
      <w:r w:rsidR="00261BB1">
        <w:rPr>
          <w:rFonts w:ascii="Arial" w:hAnsi="Arial" w:cs="Arial"/>
          <w:color w:val="000000"/>
        </w:rPr>
        <w:t>suffisamment</w:t>
      </w:r>
      <w:r w:rsidR="00DB3ED3">
        <w:rPr>
          <w:rFonts w:ascii="Arial" w:hAnsi="Arial" w:cs="Arial"/>
          <w:color w:val="000000"/>
        </w:rPr>
        <w:t xml:space="preserve"> en amont d</w:t>
      </w:r>
      <w:r>
        <w:rPr>
          <w:rFonts w:ascii="Arial" w:hAnsi="Arial" w:cs="Arial"/>
          <w:color w:val="000000"/>
        </w:rPr>
        <w:t>u CE</w:t>
      </w:r>
    </w:p>
    <w:p w:rsidR="00687980" w:rsidRDefault="00687980" w:rsidP="00687980">
      <w:pPr>
        <w:pStyle w:val="Paragraphedeliste"/>
        <w:rPr>
          <w:rFonts w:ascii="Arial" w:hAnsi="Arial" w:cs="Arial"/>
          <w:color w:val="000000"/>
        </w:rPr>
      </w:pPr>
    </w:p>
    <w:p w:rsidR="00213112" w:rsidRDefault="00687980" w:rsidP="00687980">
      <w:pPr>
        <w:pStyle w:val="Paragraphedeliste"/>
        <w:numPr>
          <w:ilvl w:val="0"/>
          <w:numId w:val="1"/>
        </w:numPr>
        <w:rPr>
          <w:rFonts w:ascii="Arial" w:hAnsi="Arial" w:cs="Arial"/>
          <w:color w:val="000000"/>
        </w:rPr>
      </w:pPr>
      <w:r w:rsidRPr="00687980">
        <w:t xml:space="preserve"> </w:t>
      </w:r>
      <w:proofErr w:type="gramStart"/>
      <w:r w:rsidRPr="00687980">
        <w:rPr>
          <w:rFonts w:ascii="Arial" w:hAnsi="Arial" w:cs="Arial"/>
          <w:color w:val="000000"/>
        </w:rPr>
        <w:t>demandent</w:t>
      </w:r>
      <w:proofErr w:type="gramEnd"/>
      <w:r w:rsidRPr="00687980">
        <w:rPr>
          <w:rFonts w:ascii="Arial" w:hAnsi="Arial" w:cs="Arial"/>
          <w:color w:val="000000"/>
        </w:rPr>
        <w:t xml:space="preserve"> que leur soient communiqué le tableau comparatif des outils et l'analyse qui a conduit au choix de OUTLOOK.</w:t>
      </w:r>
    </w:p>
    <w:p w:rsidR="00687980" w:rsidRPr="00687980" w:rsidRDefault="00687980" w:rsidP="00687980">
      <w:pPr>
        <w:pStyle w:val="Paragraphedeliste"/>
        <w:rPr>
          <w:rFonts w:ascii="Arial" w:hAnsi="Arial" w:cs="Arial"/>
          <w:color w:val="000000"/>
        </w:rPr>
      </w:pPr>
    </w:p>
    <w:p w:rsidR="00213112" w:rsidRPr="00680959" w:rsidRDefault="00FF5794" w:rsidP="00213112">
      <w:pPr>
        <w:pStyle w:val="Paragraphedeliste"/>
        <w:numPr>
          <w:ilvl w:val="0"/>
          <w:numId w:val="1"/>
        </w:numPr>
        <w:rPr>
          <w:rFonts w:ascii="Arial" w:hAnsi="Arial" w:cs="Arial"/>
          <w:color w:val="000000"/>
        </w:rPr>
      </w:pPr>
      <w:r w:rsidRPr="00680959">
        <w:rPr>
          <w:rFonts w:ascii="Arial" w:hAnsi="Arial" w:cs="Arial"/>
          <w:color w:val="000000"/>
        </w:rPr>
        <w:t xml:space="preserve">donnent mandat au secrétaire du CE pour informer les membres du CA, et en particulier la </w:t>
      </w:r>
      <w:r w:rsidR="009E298B" w:rsidRPr="00680959">
        <w:rPr>
          <w:rFonts w:ascii="Arial" w:hAnsi="Arial" w:cs="Arial"/>
          <w:color w:val="000000"/>
        </w:rPr>
        <w:t xml:space="preserve">nouvelle </w:t>
      </w:r>
      <w:r w:rsidRPr="00680959">
        <w:rPr>
          <w:rFonts w:ascii="Arial" w:hAnsi="Arial" w:cs="Arial"/>
          <w:color w:val="000000"/>
        </w:rPr>
        <w:t>Commission sur l’</w:t>
      </w:r>
      <w:r w:rsidR="009E298B" w:rsidRPr="00680959">
        <w:rPr>
          <w:rFonts w:ascii="Arial" w:hAnsi="Arial" w:cs="Arial"/>
          <w:color w:val="000000"/>
        </w:rPr>
        <w:t xml:space="preserve">évaluation des risques stratégiques de l’ADEME, que cette migration représente </w:t>
      </w:r>
      <w:r w:rsidR="00680959" w:rsidRPr="00680959">
        <w:rPr>
          <w:rFonts w:ascii="Arial" w:hAnsi="Arial" w:cs="Arial"/>
          <w:color w:val="000000"/>
        </w:rPr>
        <w:t>une augmentation significative du risque de dépendance du système d’information de l’Agence envers un éditeur dominant Nord-Américain.</w:t>
      </w:r>
    </w:p>
    <w:p w:rsidR="0062337F" w:rsidRPr="00680959" w:rsidRDefault="0062337F" w:rsidP="0062337F">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rPr>
      </w:pPr>
    </w:p>
    <w:p w:rsidR="00065B01" w:rsidRPr="00680959" w:rsidRDefault="00A4104C" w:rsidP="00FC54BF">
      <w:pPr>
        <w:pBdr>
          <w:top w:val="single" w:sz="4" w:space="1" w:color="auto"/>
          <w:left w:val="single" w:sz="4" w:space="4" w:color="auto"/>
          <w:bottom w:val="single" w:sz="4" w:space="1" w:color="auto"/>
          <w:right w:val="single" w:sz="4" w:space="4" w:color="auto"/>
        </w:pBdr>
        <w:spacing w:line="240" w:lineRule="auto"/>
        <w:rPr>
          <w:rFonts w:ascii="Arial" w:hAnsi="Arial" w:cs="Arial"/>
          <w:b/>
        </w:rPr>
      </w:pPr>
      <w:r w:rsidRPr="00680959">
        <w:rPr>
          <w:rFonts w:ascii="Arial" w:hAnsi="Arial" w:cs="Arial"/>
          <w:b/>
        </w:rPr>
        <w:t xml:space="preserve">Vote : </w:t>
      </w:r>
    </w:p>
    <w:p w:rsidR="00A4104C" w:rsidRPr="00680959" w:rsidRDefault="00A4104C" w:rsidP="0062337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color w:val="1F497D" w:themeColor="text2"/>
          <w:lang w:eastAsia="fr-FR"/>
        </w:rPr>
      </w:pPr>
      <w:r w:rsidRPr="00680959">
        <w:rPr>
          <w:rFonts w:ascii="Arial" w:eastAsia="Times New Roman" w:hAnsi="Arial" w:cs="Arial"/>
          <w:b/>
          <w:color w:val="1F497D" w:themeColor="text2"/>
          <w:lang w:eastAsia="fr-FR"/>
        </w:rPr>
        <w:t xml:space="preserve">POUR : </w:t>
      </w:r>
      <w:r w:rsidRPr="00680959">
        <w:rPr>
          <w:rFonts w:ascii="Arial" w:eastAsia="Times New Roman" w:hAnsi="Arial" w:cs="Arial"/>
          <w:b/>
          <w:color w:val="1F497D" w:themeColor="text2"/>
          <w:lang w:eastAsia="fr-FR"/>
        </w:rPr>
        <w:tab/>
      </w:r>
      <w:r w:rsidR="0062337F" w:rsidRPr="00680959">
        <w:rPr>
          <w:rFonts w:ascii="Arial" w:eastAsia="Times New Roman" w:hAnsi="Arial" w:cs="Arial"/>
          <w:b/>
          <w:color w:val="1F497D" w:themeColor="text2"/>
          <w:lang w:eastAsia="fr-FR"/>
        </w:rPr>
        <w:tab/>
        <w:t xml:space="preserve">       </w:t>
      </w:r>
      <w:r w:rsidR="0062337F" w:rsidRPr="00680959">
        <w:rPr>
          <w:rFonts w:ascii="Arial" w:eastAsia="Times New Roman" w:hAnsi="Arial" w:cs="Arial"/>
          <w:b/>
          <w:color w:val="1F497D" w:themeColor="text2"/>
          <w:lang w:eastAsia="fr-FR"/>
        </w:rPr>
        <w:tab/>
        <w:t xml:space="preserve"> </w:t>
      </w:r>
      <w:r w:rsidRPr="00680959">
        <w:rPr>
          <w:rFonts w:ascii="Arial" w:eastAsia="Times New Roman" w:hAnsi="Arial" w:cs="Arial"/>
          <w:b/>
          <w:color w:val="1F497D" w:themeColor="text2"/>
          <w:lang w:eastAsia="fr-FR"/>
        </w:rPr>
        <w:t xml:space="preserve">CONTRE :  </w:t>
      </w:r>
      <w:r w:rsidRPr="00680959">
        <w:rPr>
          <w:rFonts w:ascii="Arial" w:eastAsia="Times New Roman" w:hAnsi="Arial" w:cs="Arial"/>
          <w:b/>
          <w:color w:val="1F497D" w:themeColor="text2"/>
          <w:lang w:eastAsia="fr-FR"/>
        </w:rPr>
        <w:tab/>
      </w:r>
      <w:r w:rsidR="0062337F" w:rsidRPr="00680959">
        <w:rPr>
          <w:rFonts w:ascii="Arial" w:eastAsia="Times New Roman" w:hAnsi="Arial" w:cs="Arial"/>
          <w:b/>
          <w:color w:val="1F497D" w:themeColor="text2"/>
          <w:lang w:eastAsia="fr-FR"/>
        </w:rPr>
        <w:tab/>
      </w:r>
      <w:r w:rsidRPr="00680959">
        <w:rPr>
          <w:rFonts w:ascii="Arial" w:eastAsia="Times New Roman" w:hAnsi="Arial" w:cs="Arial"/>
          <w:b/>
          <w:color w:val="1F497D" w:themeColor="text2"/>
          <w:lang w:eastAsia="fr-FR"/>
        </w:rPr>
        <w:tab/>
        <w:t xml:space="preserve">ABSTENTIONS :  </w:t>
      </w:r>
      <w:r w:rsidR="0062337F" w:rsidRPr="00680959">
        <w:rPr>
          <w:rFonts w:ascii="Arial" w:eastAsia="Times New Roman" w:hAnsi="Arial" w:cs="Arial"/>
          <w:b/>
          <w:color w:val="1F497D" w:themeColor="text2"/>
          <w:lang w:eastAsia="fr-FR"/>
        </w:rPr>
        <w:t xml:space="preserve">  </w:t>
      </w:r>
    </w:p>
    <w:p w:rsidR="00065B01" w:rsidRPr="00680959" w:rsidRDefault="00065B01" w:rsidP="0062337F">
      <w:pPr>
        <w:pBdr>
          <w:top w:val="single" w:sz="4" w:space="1" w:color="auto"/>
          <w:left w:val="single" w:sz="4" w:space="4" w:color="auto"/>
          <w:bottom w:val="single" w:sz="4" w:space="1" w:color="auto"/>
          <w:right w:val="single" w:sz="4" w:space="4" w:color="auto"/>
        </w:pBdr>
        <w:spacing w:after="0"/>
        <w:rPr>
          <w:rFonts w:ascii="Arial" w:hAnsi="Arial" w:cs="Arial"/>
        </w:rPr>
      </w:pPr>
    </w:p>
    <w:p w:rsidR="0062337F" w:rsidRPr="00680959" w:rsidRDefault="0062337F" w:rsidP="0062337F">
      <w:pPr>
        <w:spacing w:after="0"/>
        <w:rPr>
          <w:rFonts w:ascii="Arial" w:hAnsi="Arial" w:cs="Arial"/>
        </w:rPr>
      </w:pPr>
    </w:p>
    <w:p w:rsidR="00530ECB" w:rsidRPr="00680959" w:rsidRDefault="00530ECB" w:rsidP="00530ECB">
      <w:pPr>
        <w:spacing w:after="0"/>
        <w:ind w:left="4956"/>
        <w:rPr>
          <w:rFonts w:ascii="Arial" w:hAnsi="Arial" w:cs="Arial"/>
        </w:rPr>
      </w:pPr>
      <w:r w:rsidRPr="00680959">
        <w:rPr>
          <w:rFonts w:ascii="Arial" w:hAnsi="Arial" w:cs="Arial"/>
        </w:rPr>
        <w:t>L</w:t>
      </w:r>
      <w:r w:rsidR="0005391F" w:rsidRPr="00680959">
        <w:rPr>
          <w:rFonts w:ascii="Arial" w:hAnsi="Arial" w:cs="Arial"/>
        </w:rPr>
        <w:t>e</w:t>
      </w:r>
      <w:r w:rsidRPr="00680959">
        <w:rPr>
          <w:rFonts w:ascii="Arial" w:hAnsi="Arial" w:cs="Arial"/>
        </w:rPr>
        <w:t xml:space="preserve"> secrétaire du Comité d’Entreprise, </w:t>
      </w:r>
    </w:p>
    <w:p w:rsidR="00530ECB" w:rsidRPr="00680959" w:rsidRDefault="00530ECB" w:rsidP="00530ECB">
      <w:pPr>
        <w:spacing w:after="0"/>
        <w:ind w:left="4956"/>
        <w:rPr>
          <w:rFonts w:ascii="Arial" w:hAnsi="Arial" w:cs="Arial"/>
        </w:rPr>
      </w:pPr>
    </w:p>
    <w:p w:rsidR="00F07FF4" w:rsidRDefault="00F07FF4" w:rsidP="00530ECB">
      <w:pPr>
        <w:spacing w:after="0"/>
        <w:ind w:left="4956"/>
        <w:rPr>
          <w:rFonts w:ascii="Arial" w:hAnsi="Arial" w:cs="Arial"/>
        </w:rPr>
      </w:pPr>
    </w:p>
    <w:p w:rsidR="001A09C4" w:rsidRPr="00680959" w:rsidRDefault="001A09C4" w:rsidP="00530ECB">
      <w:pPr>
        <w:spacing w:after="0"/>
        <w:ind w:left="4956"/>
        <w:rPr>
          <w:rFonts w:ascii="Arial" w:hAnsi="Arial" w:cs="Arial"/>
        </w:rPr>
      </w:pPr>
    </w:p>
    <w:p w:rsidR="00530ECB" w:rsidRPr="00680959" w:rsidRDefault="00530ECB" w:rsidP="00530ECB">
      <w:pPr>
        <w:spacing w:after="0"/>
        <w:ind w:left="4956"/>
        <w:rPr>
          <w:rFonts w:ascii="Arial" w:hAnsi="Arial" w:cs="Arial"/>
        </w:rPr>
      </w:pPr>
    </w:p>
    <w:p w:rsidR="008F7EF1" w:rsidRPr="00680959" w:rsidRDefault="0005391F" w:rsidP="00530ECB">
      <w:pPr>
        <w:spacing w:after="0"/>
        <w:ind w:left="4956"/>
        <w:rPr>
          <w:rFonts w:ascii="Arial" w:hAnsi="Arial" w:cs="Arial"/>
        </w:rPr>
      </w:pPr>
      <w:bookmarkStart w:id="0" w:name="_GoBack"/>
      <w:bookmarkEnd w:id="0"/>
      <w:r w:rsidRPr="00680959">
        <w:rPr>
          <w:rFonts w:ascii="Arial" w:hAnsi="Arial" w:cs="Arial"/>
        </w:rPr>
        <w:t>Patrick EVEN</w:t>
      </w:r>
    </w:p>
    <w:sectPr w:rsidR="008F7EF1" w:rsidRPr="00680959" w:rsidSect="00FC54BF">
      <w:pgSz w:w="11906" w:h="16838"/>
      <w:pgMar w:top="1135"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269E"/>
    <w:multiLevelType w:val="hybridMultilevel"/>
    <w:tmpl w:val="DEF64856"/>
    <w:lvl w:ilvl="0" w:tplc="8D988C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92"/>
    <w:rsid w:val="00050ABA"/>
    <w:rsid w:val="0005391F"/>
    <w:rsid w:val="00065B01"/>
    <w:rsid w:val="000E20BD"/>
    <w:rsid w:val="00124015"/>
    <w:rsid w:val="001603EC"/>
    <w:rsid w:val="001A09C4"/>
    <w:rsid w:val="00213112"/>
    <w:rsid w:val="00261BB1"/>
    <w:rsid w:val="002845F9"/>
    <w:rsid w:val="00297863"/>
    <w:rsid w:val="00304A8A"/>
    <w:rsid w:val="003D1526"/>
    <w:rsid w:val="003E3114"/>
    <w:rsid w:val="00412664"/>
    <w:rsid w:val="00423500"/>
    <w:rsid w:val="00425E1A"/>
    <w:rsid w:val="00474796"/>
    <w:rsid w:val="004A6B66"/>
    <w:rsid w:val="004E3CFB"/>
    <w:rsid w:val="00530ECB"/>
    <w:rsid w:val="00542DC1"/>
    <w:rsid w:val="00553D9F"/>
    <w:rsid w:val="005F12F3"/>
    <w:rsid w:val="0062337F"/>
    <w:rsid w:val="006427D2"/>
    <w:rsid w:val="00680959"/>
    <w:rsid w:val="00687980"/>
    <w:rsid w:val="00694D62"/>
    <w:rsid w:val="007312A7"/>
    <w:rsid w:val="00790EF1"/>
    <w:rsid w:val="008375B9"/>
    <w:rsid w:val="008F7EF1"/>
    <w:rsid w:val="0091049F"/>
    <w:rsid w:val="00916421"/>
    <w:rsid w:val="009576D9"/>
    <w:rsid w:val="009E298B"/>
    <w:rsid w:val="00A4104C"/>
    <w:rsid w:val="00A905B2"/>
    <w:rsid w:val="00AC2066"/>
    <w:rsid w:val="00B14A23"/>
    <w:rsid w:val="00B50692"/>
    <w:rsid w:val="00B856C9"/>
    <w:rsid w:val="00BF0B3B"/>
    <w:rsid w:val="00CA3EB1"/>
    <w:rsid w:val="00CB3AB9"/>
    <w:rsid w:val="00CC09C3"/>
    <w:rsid w:val="00DB3ED3"/>
    <w:rsid w:val="00DD2C07"/>
    <w:rsid w:val="00DF4A83"/>
    <w:rsid w:val="00E8543C"/>
    <w:rsid w:val="00E9734A"/>
    <w:rsid w:val="00EA7B27"/>
    <w:rsid w:val="00F04E73"/>
    <w:rsid w:val="00F07FF4"/>
    <w:rsid w:val="00F3152F"/>
    <w:rsid w:val="00F449E9"/>
    <w:rsid w:val="00F73381"/>
    <w:rsid w:val="00F74BC4"/>
    <w:rsid w:val="00F81897"/>
    <w:rsid w:val="00F96297"/>
    <w:rsid w:val="00FB364C"/>
    <w:rsid w:val="00FC54BF"/>
    <w:rsid w:val="00FF5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12911-9223-4223-9466-53433526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03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03EC"/>
    <w:rPr>
      <w:rFonts w:ascii="Tahoma" w:hAnsi="Tahoma" w:cs="Tahoma"/>
      <w:sz w:val="16"/>
      <w:szCs w:val="16"/>
    </w:rPr>
  </w:style>
  <w:style w:type="paragraph" w:styleId="Paragraphedeliste">
    <w:name w:val="List Paragraph"/>
    <w:basedOn w:val="Normal"/>
    <w:uiPriority w:val="34"/>
    <w:qFormat/>
    <w:rsid w:val="00542DC1"/>
    <w:pPr>
      <w:ind w:left="720"/>
      <w:contextualSpacing/>
    </w:pPr>
  </w:style>
  <w:style w:type="character" w:styleId="Textedelespacerserv">
    <w:name w:val="Placeholder Text"/>
    <w:basedOn w:val="Policepardfaut"/>
    <w:uiPriority w:val="99"/>
    <w:semiHidden/>
    <w:rsid w:val="00CA3EB1"/>
    <w:rPr>
      <w:color w:val="808080"/>
    </w:rPr>
  </w:style>
  <w:style w:type="character" w:customStyle="1" w:styleId="Style1">
    <w:name w:val="Style1"/>
    <w:basedOn w:val="Policepardfaut"/>
    <w:uiPriority w:val="1"/>
    <w:rsid w:val="00050ABA"/>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C12195\modeledelibCEV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modeledelibCEV1</Template>
  <TotalTime>1</TotalTime>
  <Pages>1</Pages>
  <Words>323</Words>
  <Characters>1778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GUIMARD</dc:creator>
  <cp:lastModifiedBy>jp georges</cp:lastModifiedBy>
  <cp:revision>2</cp:revision>
  <cp:lastPrinted>2017-02-21T09:59:00Z</cp:lastPrinted>
  <dcterms:created xsi:type="dcterms:W3CDTF">2017-02-21T11:02:00Z</dcterms:created>
  <dcterms:modified xsi:type="dcterms:W3CDTF">2017-02-21T11:02:00Z</dcterms:modified>
</cp:coreProperties>
</file>